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21E" w:rsidRPr="009623B4" w:rsidRDefault="00E0721E" w:rsidP="00E0721E">
      <w:pPr>
        <w:pStyle w:val="Body"/>
        <w:jc w:val="center"/>
        <w:rPr>
          <w:b/>
          <w:sz w:val="40"/>
        </w:rPr>
      </w:pPr>
      <w:r w:rsidRPr="009623B4">
        <w:rPr>
          <w:b/>
          <w:sz w:val="40"/>
        </w:rPr>
        <w:t>Georgia Institute of Technology</w:t>
      </w:r>
    </w:p>
    <w:p w:rsidR="00E0721E" w:rsidRDefault="00E0721E" w:rsidP="00E0721E">
      <w:pPr>
        <w:pStyle w:val="Body"/>
        <w:jc w:val="center"/>
      </w:pPr>
    </w:p>
    <w:p w:rsidR="00E0721E" w:rsidRDefault="00E0721E" w:rsidP="00E0721E">
      <w:pPr>
        <w:pStyle w:val="Body"/>
        <w:jc w:val="center"/>
      </w:pPr>
    </w:p>
    <w:p w:rsidR="00E0721E" w:rsidRPr="009623B4" w:rsidRDefault="00E0721E" w:rsidP="00E0721E">
      <w:pPr>
        <w:pStyle w:val="Body"/>
        <w:jc w:val="center"/>
        <w:rPr>
          <w:sz w:val="32"/>
        </w:rPr>
      </w:pPr>
      <w:r w:rsidRPr="009623B4">
        <w:rPr>
          <w:sz w:val="32"/>
        </w:rPr>
        <w:t>The George W. Woodruff School of Mechanical Engineering</w:t>
      </w:r>
    </w:p>
    <w:p w:rsidR="00E0721E" w:rsidRPr="009623B4" w:rsidRDefault="00E0721E" w:rsidP="00E0721E">
      <w:pPr>
        <w:pStyle w:val="Body"/>
        <w:jc w:val="center"/>
        <w:rPr>
          <w:sz w:val="32"/>
        </w:rPr>
      </w:pPr>
      <w:r w:rsidRPr="009623B4">
        <w:rPr>
          <w:sz w:val="32"/>
        </w:rPr>
        <w:t>Nuclear &amp; Radiological Engineering/Medical Physics Program</w:t>
      </w:r>
    </w:p>
    <w:p w:rsidR="00E0721E" w:rsidRDefault="00E0721E" w:rsidP="00E0721E">
      <w:pPr>
        <w:pStyle w:val="Body"/>
        <w:jc w:val="center"/>
      </w:pPr>
    </w:p>
    <w:p w:rsidR="00E0721E" w:rsidRDefault="00E0721E" w:rsidP="00E0721E">
      <w:pPr>
        <w:pStyle w:val="Body"/>
        <w:jc w:val="center"/>
      </w:pPr>
    </w:p>
    <w:p w:rsidR="00E0721E" w:rsidRPr="009623B4" w:rsidRDefault="00E0721E" w:rsidP="00E0721E">
      <w:pPr>
        <w:pStyle w:val="Body"/>
        <w:jc w:val="center"/>
        <w:rPr>
          <w:sz w:val="32"/>
        </w:rPr>
      </w:pPr>
      <w:r w:rsidRPr="009623B4">
        <w:rPr>
          <w:sz w:val="32"/>
        </w:rPr>
        <w:t>Ph.D. Qualifier Exam</w:t>
      </w:r>
    </w:p>
    <w:p w:rsidR="00E0721E" w:rsidRPr="009623B4" w:rsidRDefault="00E0721E" w:rsidP="00E0721E">
      <w:pPr>
        <w:pStyle w:val="Body"/>
        <w:jc w:val="center"/>
        <w:rPr>
          <w:sz w:val="32"/>
        </w:rPr>
      </w:pPr>
      <w:r w:rsidRPr="009623B4">
        <w:rPr>
          <w:sz w:val="32"/>
        </w:rPr>
        <w:t>Fall Semester 2015</w:t>
      </w:r>
    </w:p>
    <w:p w:rsidR="00E0721E" w:rsidRDefault="00E0721E" w:rsidP="00E0721E">
      <w:pPr>
        <w:pStyle w:val="Body"/>
        <w:jc w:val="center"/>
      </w:pPr>
    </w:p>
    <w:p w:rsidR="00E0721E" w:rsidRDefault="00E0721E" w:rsidP="00E0721E">
      <w:pPr>
        <w:pStyle w:val="Body"/>
        <w:jc w:val="center"/>
      </w:pPr>
    </w:p>
    <w:p w:rsidR="00E0721E" w:rsidRPr="009623B4" w:rsidRDefault="00E0721E" w:rsidP="00E0721E">
      <w:pPr>
        <w:pStyle w:val="Body"/>
        <w:jc w:val="center"/>
        <w:rPr>
          <w:sz w:val="28"/>
        </w:rPr>
      </w:pPr>
      <w:r w:rsidRPr="009623B4">
        <w:rPr>
          <w:sz w:val="28"/>
        </w:rPr>
        <w:t>______________ Your ID Code</w:t>
      </w:r>
    </w:p>
    <w:p w:rsidR="00E0721E" w:rsidRDefault="00E0721E" w:rsidP="00E0721E">
      <w:pPr>
        <w:pStyle w:val="Body"/>
        <w:jc w:val="center"/>
      </w:pPr>
    </w:p>
    <w:p w:rsidR="00E0721E" w:rsidRDefault="00E0721E" w:rsidP="00E0721E">
      <w:pPr>
        <w:pStyle w:val="Body"/>
        <w:jc w:val="center"/>
      </w:pPr>
    </w:p>
    <w:p w:rsidR="00E0721E" w:rsidRDefault="00E0721E" w:rsidP="00E0721E">
      <w:pPr>
        <w:pStyle w:val="Body"/>
        <w:jc w:val="center"/>
      </w:pPr>
    </w:p>
    <w:p w:rsidR="00E0721E" w:rsidRPr="009623B4" w:rsidRDefault="00E0721E" w:rsidP="00E0721E">
      <w:pPr>
        <w:pStyle w:val="Body"/>
        <w:jc w:val="center"/>
        <w:rPr>
          <w:b/>
          <w:sz w:val="32"/>
        </w:rPr>
      </w:pPr>
      <w:r>
        <w:rPr>
          <w:b/>
          <w:sz w:val="32"/>
        </w:rPr>
        <w:t xml:space="preserve">Detection and </w:t>
      </w:r>
      <w:proofErr w:type="spellStart"/>
      <w:r>
        <w:rPr>
          <w:b/>
          <w:sz w:val="32"/>
        </w:rPr>
        <w:t>Dosimetry</w:t>
      </w:r>
      <w:proofErr w:type="spellEnd"/>
      <w:r>
        <w:rPr>
          <w:b/>
          <w:sz w:val="32"/>
        </w:rPr>
        <w:t xml:space="preserve"> (Day 2</w:t>
      </w:r>
      <w:r w:rsidRPr="009623B4">
        <w:rPr>
          <w:b/>
          <w:sz w:val="32"/>
        </w:rPr>
        <w:t>)</w:t>
      </w:r>
    </w:p>
    <w:p w:rsidR="00E0721E" w:rsidRDefault="00E0721E" w:rsidP="00E0721E">
      <w:pPr>
        <w:pStyle w:val="Body"/>
        <w:jc w:val="both"/>
      </w:pPr>
    </w:p>
    <w:p w:rsidR="00E0721E" w:rsidRDefault="00E0721E" w:rsidP="00E0721E">
      <w:pPr>
        <w:pStyle w:val="Body"/>
        <w:jc w:val="both"/>
      </w:pPr>
    </w:p>
    <w:p w:rsidR="00E0721E" w:rsidRDefault="00E0721E" w:rsidP="00E0721E">
      <w:pPr>
        <w:pStyle w:val="Body"/>
        <w:jc w:val="both"/>
      </w:pPr>
    </w:p>
    <w:p w:rsidR="00E0721E" w:rsidRDefault="00E0721E" w:rsidP="00E0721E">
      <w:pPr>
        <w:pStyle w:val="Body"/>
        <w:jc w:val="both"/>
      </w:pPr>
    </w:p>
    <w:p w:rsidR="00E0721E" w:rsidRDefault="00E0721E" w:rsidP="00E0721E">
      <w:pPr>
        <w:pStyle w:val="Body"/>
        <w:jc w:val="both"/>
      </w:pPr>
      <w:r>
        <w:t xml:space="preserve">  </w:t>
      </w:r>
    </w:p>
    <w:p w:rsidR="00E0721E" w:rsidRDefault="00E0721E" w:rsidP="00E0721E">
      <w:pPr>
        <w:pStyle w:val="Body"/>
        <w:jc w:val="both"/>
      </w:pPr>
    </w:p>
    <w:p w:rsidR="00E0721E" w:rsidRDefault="00E0721E" w:rsidP="00E0721E">
      <w:pPr>
        <w:pStyle w:val="Body"/>
        <w:ind w:firstLine="360"/>
        <w:jc w:val="both"/>
        <w:rPr>
          <w:sz w:val="28"/>
          <w:u w:val="single"/>
        </w:rPr>
      </w:pPr>
      <w:r w:rsidRPr="009623B4">
        <w:rPr>
          <w:sz w:val="28"/>
          <w:u w:val="single"/>
        </w:rPr>
        <w:t xml:space="preserve">Instructions </w:t>
      </w:r>
      <w:r>
        <w:rPr>
          <w:sz w:val="28"/>
          <w:u w:val="single"/>
        </w:rPr>
        <w:t xml:space="preserve"> </w:t>
      </w:r>
    </w:p>
    <w:p w:rsidR="00E0721E" w:rsidRPr="009623B4" w:rsidRDefault="00E0721E" w:rsidP="00E0721E">
      <w:pPr>
        <w:pStyle w:val="Body"/>
        <w:jc w:val="both"/>
        <w:rPr>
          <w:sz w:val="28"/>
          <w:u w:val="single"/>
        </w:rPr>
      </w:pPr>
    </w:p>
    <w:p w:rsidR="00E0721E" w:rsidRPr="009623B4" w:rsidRDefault="00E0721E" w:rsidP="00E0721E">
      <w:pPr>
        <w:pStyle w:val="Body"/>
        <w:numPr>
          <w:ilvl w:val="0"/>
          <w:numId w:val="1"/>
        </w:numPr>
        <w:jc w:val="both"/>
        <w:rPr>
          <w:sz w:val="28"/>
        </w:rPr>
      </w:pPr>
      <w:r w:rsidRPr="009623B4">
        <w:rPr>
          <w:sz w:val="28"/>
        </w:rPr>
        <w:t>Use a separate page for each answer s</w:t>
      </w:r>
      <w:r>
        <w:rPr>
          <w:sz w:val="28"/>
        </w:rPr>
        <w:t>heet (no front to back answers)</w:t>
      </w:r>
    </w:p>
    <w:p w:rsidR="00E0721E" w:rsidRPr="009623B4" w:rsidRDefault="00E0721E" w:rsidP="00E0721E">
      <w:pPr>
        <w:pStyle w:val="Body"/>
        <w:numPr>
          <w:ilvl w:val="0"/>
          <w:numId w:val="1"/>
        </w:numPr>
        <w:jc w:val="both"/>
        <w:rPr>
          <w:sz w:val="28"/>
        </w:rPr>
      </w:pPr>
      <w:r w:rsidRPr="009623B4">
        <w:rPr>
          <w:sz w:val="28"/>
        </w:rPr>
        <w:t>The question number shoul</w:t>
      </w:r>
      <w:r>
        <w:rPr>
          <w:sz w:val="28"/>
        </w:rPr>
        <w:t>d be shown on each answer sheet</w:t>
      </w:r>
      <w:r w:rsidRPr="009623B4">
        <w:rPr>
          <w:sz w:val="28"/>
        </w:rPr>
        <w:t xml:space="preserve"> </w:t>
      </w:r>
    </w:p>
    <w:p w:rsidR="00E0721E" w:rsidRPr="009623B4" w:rsidRDefault="00E0721E" w:rsidP="00E0721E">
      <w:pPr>
        <w:pStyle w:val="Body"/>
        <w:ind w:firstLine="720"/>
        <w:jc w:val="both"/>
        <w:rPr>
          <w:sz w:val="28"/>
        </w:rPr>
      </w:pPr>
      <w:r w:rsidRPr="009623B4">
        <w:rPr>
          <w:sz w:val="28"/>
        </w:rPr>
        <w:t xml:space="preserve">3. </w:t>
      </w:r>
      <w:r>
        <w:rPr>
          <w:sz w:val="28"/>
        </w:rPr>
        <w:t xml:space="preserve"> </w:t>
      </w:r>
      <w:r>
        <w:rPr>
          <w:b/>
          <w:sz w:val="28"/>
        </w:rPr>
        <w:t>ANSWER 4 OF 6 QUESTIONS ONLY</w:t>
      </w:r>
    </w:p>
    <w:p w:rsidR="00E0721E" w:rsidRDefault="00E0721E" w:rsidP="00E0721E">
      <w:pPr>
        <w:pStyle w:val="Body"/>
        <w:ind w:firstLine="720"/>
        <w:jc w:val="both"/>
        <w:rPr>
          <w:sz w:val="28"/>
        </w:rPr>
      </w:pPr>
      <w:r w:rsidRPr="009623B4">
        <w:rPr>
          <w:sz w:val="28"/>
        </w:rPr>
        <w:t xml:space="preserve">4. </w:t>
      </w:r>
      <w:r>
        <w:rPr>
          <w:sz w:val="28"/>
        </w:rPr>
        <w:t xml:space="preserve"> </w:t>
      </w:r>
      <w:r w:rsidRPr="009623B4">
        <w:rPr>
          <w:sz w:val="28"/>
        </w:rPr>
        <w:t>Staple your question sheet to</w:t>
      </w:r>
      <w:r>
        <w:rPr>
          <w:sz w:val="28"/>
        </w:rPr>
        <w:t xml:space="preserve"> your answer sheets and turn in</w:t>
      </w: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E0721E" w:rsidRDefault="00E0721E" w:rsidP="00E0721E">
      <w:pPr>
        <w:pStyle w:val="Body"/>
        <w:ind w:firstLine="720"/>
        <w:jc w:val="both"/>
        <w:rPr>
          <w:sz w:val="28"/>
        </w:rPr>
      </w:pPr>
    </w:p>
    <w:p w:rsidR="00794CB2" w:rsidRDefault="00794CB2" w:rsidP="00794CB2">
      <w:pPr>
        <w:pStyle w:val="Body"/>
        <w:jc w:val="both"/>
        <w:rPr>
          <w:rFonts w:ascii="Arial" w:hAnsi="Arial" w:cs="Arial"/>
          <w:b/>
          <w:sz w:val="28"/>
        </w:rPr>
      </w:pPr>
      <w:r>
        <w:rPr>
          <w:rFonts w:ascii="Arial" w:hAnsi="Arial" w:cs="Arial"/>
          <w:b/>
          <w:sz w:val="28"/>
        </w:rPr>
        <w:lastRenderedPageBreak/>
        <w:t xml:space="preserve">NRE/MP Detection and </w:t>
      </w:r>
      <w:proofErr w:type="spellStart"/>
      <w:r>
        <w:rPr>
          <w:rFonts w:ascii="Arial" w:hAnsi="Arial" w:cs="Arial"/>
          <w:b/>
          <w:sz w:val="28"/>
        </w:rPr>
        <w:t>Dosimetry</w:t>
      </w:r>
      <w:proofErr w:type="spellEnd"/>
    </w:p>
    <w:p w:rsidR="00794CB2" w:rsidRDefault="00794CB2" w:rsidP="00794CB2">
      <w:pPr>
        <w:pStyle w:val="Body"/>
        <w:jc w:val="both"/>
        <w:rPr>
          <w:rFonts w:ascii="Arial" w:hAnsi="Arial" w:cs="Arial"/>
          <w:b/>
          <w:sz w:val="28"/>
        </w:rPr>
      </w:pPr>
    </w:p>
    <w:p w:rsidR="00794CB2" w:rsidRDefault="00794CB2" w:rsidP="00794CB2">
      <w:pPr>
        <w:pStyle w:val="Body"/>
        <w:jc w:val="both"/>
        <w:rPr>
          <w:rFonts w:ascii="Arial" w:hAnsi="Arial" w:cs="Arial"/>
          <w:u w:val="single"/>
        </w:rPr>
      </w:pPr>
      <w:r>
        <w:rPr>
          <w:rFonts w:ascii="Arial" w:hAnsi="Arial" w:cs="Arial"/>
          <w:b/>
          <w:sz w:val="28"/>
          <w:u w:val="single"/>
        </w:rPr>
        <w:t>Answer any 4 of the following 6 questions</w:t>
      </w:r>
      <w:r>
        <w:rPr>
          <w:rFonts w:ascii="Arial" w:hAnsi="Arial" w:cs="Arial"/>
          <w:u w:val="single"/>
        </w:rPr>
        <w:t xml:space="preserve">. </w:t>
      </w:r>
    </w:p>
    <w:p w:rsidR="00794CB2" w:rsidRDefault="00794CB2" w:rsidP="00794CB2">
      <w:pPr>
        <w:pStyle w:val="Body"/>
        <w:jc w:val="both"/>
        <w:rPr>
          <w:rFonts w:ascii="Arial" w:hAnsi="Arial" w:cs="Arial"/>
        </w:rPr>
      </w:pPr>
    </w:p>
    <w:p w:rsidR="00E0721E" w:rsidRDefault="00E0721E" w:rsidP="00EB75F5">
      <w:pPr>
        <w:pStyle w:val="Body"/>
        <w:jc w:val="both"/>
        <w:rPr>
          <w:sz w:val="28"/>
        </w:rPr>
      </w:pPr>
    </w:p>
    <w:p w:rsidR="00794CB2" w:rsidRDefault="00794CB2" w:rsidP="00E0721E">
      <w:pPr>
        <w:pStyle w:val="ListParagraph"/>
        <w:tabs>
          <w:tab w:val="left" w:pos="270"/>
        </w:tabs>
        <w:spacing w:after="120"/>
        <w:ind w:left="274" w:hanging="274"/>
        <w:rPr>
          <w:rFonts w:ascii="Arial" w:hAnsi="Arial" w:cs="Arial"/>
        </w:rPr>
      </w:pPr>
    </w:p>
    <w:p w:rsidR="00E0721E" w:rsidRPr="00EB75F5" w:rsidRDefault="00E0721E" w:rsidP="00E0721E">
      <w:pPr>
        <w:pStyle w:val="ListParagraph"/>
        <w:tabs>
          <w:tab w:val="left" w:pos="270"/>
        </w:tabs>
        <w:spacing w:after="120"/>
        <w:ind w:left="274" w:hanging="274"/>
        <w:rPr>
          <w:rFonts w:ascii="Arial" w:hAnsi="Arial" w:cs="Arial"/>
          <w:b/>
        </w:rPr>
      </w:pPr>
      <w:r w:rsidRPr="00EB75F5">
        <w:rPr>
          <w:rFonts w:ascii="Arial" w:hAnsi="Arial" w:cs="Arial"/>
          <w:b/>
        </w:rPr>
        <w:t xml:space="preserve">Question 1. </w:t>
      </w:r>
    </w:p>
    <w:p w:rsidR="00E0721E" w:rsidRPr="00CD737B" w:rsidRDefault="00E0721E" w:rsidP="00E0721E">
      <w:pPr>
        <w:pStyle w:val="ListParagraph"/>
        <w:tabs>
          <w:tab w:val="left" w:pos="270"/>
        </w:tabs>
        <w:spacing w:after="120"/>
        <w:ind w:left="274" w:hanging="274"/>
        <w:rPr>
          <w:rFonts w:ascii="Arial" w:hAnsi="Arial" w:cs="Arial"/>
        </w:rPr>
      </w:pPr>
    </w:p>
    <w:p w:rsidR="00E0721E" w:rsidRPr="00CD737B" w:rsidRDefault="00E0721E" w:rsidP="00E0721E">
      <w:pPr>
        <w:pStyle w:val="ListParagraph"/>
        <w:tabs>
          <w:tab w:val="left" w:pos="270"/>
        </w:tabs>
        <w:spacing w:after="120"/>
        <w:ind w:left="274" w:hanging="274"/>
        <w:rPr>
          <w:rFonts w:ascii="Arial" w:hAnsi="Arial" w:cs="Arial"/>
        </w:rPr>
      </w:pPr>
      <w:r w:rsidRPr="00CD737B">
        <w:rPr>
          <w:rFonts w:ascii="Arial" w:hAnsi="Arial" w:cs="Arial"/>
        </w:rPr>
        <w:tab/>
        <w:t>(a) Define the Bragg-Gray conditions. Discuss the differences in how these conditions will hold for photon vs. neutron fields.</w:t>
      </w:r>
    </w:p>
    <w:p w:rsidR="00E0721E" w:rsidRPr="00CD737B" w:rsidRDefault="00E0721E" w:rsidP="00E0721E">
      <w:pPr>
        <w:pStyle w:val="ListParagraph"/>
        <w:tabs>
          <w:tab w:val="left" w:pos="270"/>
        </w:tabs>
        <w:spacing w:after="120"/>
        <w:ind w:left="274" w:hanging="274"/>
        <w:rPr>
          <w:rFonts w:ascii="Arial" w:hAnsi="Arial" w:cs="Arial"/>
        </w:rPr>
      </w:pPr>
      <w:r w:rsidRPr="00CD737B">
        <w:rPr>
          <w:rFonts w:ascii="Arial" w:hAnsi="Arial" w:cs="Arial"/>
        </w:rPr>
        <w:t xml:space="preserve">   </w:t>
      </w:r>
      <w:r w:rsidRPr="00CD737B">
        <w:rPr>
          <w:rFonts w:ascii="Arial" w:hAnsi="Arial" w:cs="Arial"/>
        </w:rPr>
        <w:tab/>
        <w:t>(b) Suppose we have a 1 cm radius cavity of a polystyrene-based scintillation dosimeter (density of 1.06 g/cm3) embedded in water (density of 1.0 g/cm3). What is the ratio of dose between the dosimeter and the water for a 1.5 MeV photon beam? (</w:t>
      </w:r>
      <w:proofErr w:type="gramStart"/>
      <w:r w:rsidRPr="00CD737B">
        <w:rPr>
          <w:rFonts w:ascii="Arial" w:hAnsi="Arial" w:cs="Arial"/>
        </w:rPr>
        <w:t>ignore</w:t>
      </w:r>
      <w:proofErr w:type="gramEnd"/>
      <w:r w:rsidRPr="00CD737B">
        <w:rPr>
          <w:rFonts w:ascii="Arial" w:hAnsi="Arial" w:cs="Arial"/>
        </w:rPr>
        <w:t xml:space="preserve"> attenuation)</w:t>
      </w:r>
    </w:p>
    <w:p w:rsidR="00E0721E" w:rsidRPr="00CD737B" w:rsidRDefault="00E0721E" w:rsidP="00E0721E">
      <w:pPr>
        <w:pStyle w:val="ListParagraph"/>
        <w:tabs>
          <w:tab w:val="left" w:pos="270"/>
        </w:tabs>
        <w:spacing w:after="120"/>
        <w:ind w:left="274" w:hanging="274"/>
        <w:rPr>
          <w:rFonts w:ascii="Arial" w:hAnsi="Arial" w:cs="Arial"/>
        </w:rPr>
      </w:pPr>
    </w:p>
    <w:p w:rsidR="00E0721E" w:rsidRPr="00CD737B" w:rsidRDefault="00E0721E" w:rsidP="00E0721E">
      <w:pPr>
        <w:pStyle w:val="ListParagraph"/>
        <w:tabs>
          <w:tab w:val="left" w:pos="270"/>
        </w:tabs>
        <w:spacing w:after="120"/>
        <w:ind w:left="274" w:hanging="274"/>
        <w:rPr>
          <w:rFonts w:ascii="Arial" w:hAnsi="Arial" w:cs="Arial"/>
        </w:rPr>
      </w:pPr>
    </w:p>
    <w:p w:rsidR="00E0721E" w:rsidRPr="00EB75F5" w:rsidRDefault="00E0721E" w:rsidP="00E0721E">
      <w:pPr>
        <w:pStyle w:val="ListParagraph"/>
        <w:tabs>
          <w:tab w:val="left" w:pos="270"/>
        </w:tabs>
        <w:spacing w:after="120"/>
        <w:ind w:left="274" w:hanging="274"/>
        <w:rPr>
          <w:rFonts w:ascii="Arial" w:hAnsi="Arial" w:cs="Arial"/>
          <w:b/>
        </w:rPr>
      </w:pPr>
    </w:p>
    <w:p w:rsidR="00E0721E" w:rsidRPr="00EB75F5" w:rsidRDefault="00E0721E" w:rsidP="00E0721E">
      <w:pPr>
        <w:pStyle w:val="ListParagraph"/>
        <w:tabs>
          <w:tab w:val="left" w:pos="270"/>
        </w:tabs>
        <w:spacing w:after="120"/>
        <w:ind w:left="274" w:hanging="274"/>
        <w:rPr>
          <w:rFonts w:ascii="Arial" w:hAnsi="Arial" w:cs="Arial"/>
          <w:b/>
        </w:rPr>
      </w:pPr>
      <w:r w:rsidRPr="00EB75F5">
        <w:rPr>
          <w:rFonts w:ascii="Arial" w:hAnsi="Arial" w:cs="Arial"/>
          <w:b/>
        </w:rPr>
        <w:t xml:space="preserve">Question 2.  </w:t>
      </w:r>
    </w:p>
    <w:p w:rsidR="00CD737B" w:rsidRPr="00CD737B" w:rsidRDefault="00CD737B" w:rsidP="00E0721E">
      <w:pPr>
        <w:pStyle w:val="ListParagraph"/>
        <w:tabs>
          <w:tab w:val="left" w:pos="270"/>
        </w:tabs>
        <w:spacing w:after="120"/>
        <w:ind w:left="274" w:hanging="274"/>
        <w:rPr>
          <w:rFonts w:ascii="Arial" w:hAnsi="Arial" w:cs="Arial"/>
        </w:rPr>
      </w:pPr>
    </w:p>
    <w:p w:rsidR="00E0721E" w:rsidRPr="00CD737B" w:rsidRDefault="00E0721E" w:rsidP="00E0721E">
      <w:pPr>
        <w:pStyle w:val="ListParagraph"/>
        <w:tabs>
          <w:tab w:val="left" w:pos="270"/>
        </w:tabs>
        <w:spacing w:after="120"/>
        <w:ind w:left="274" w:hanging="274"/>
        <w:rPr>
          <w:rFonts w:ascii="Arial" w:hAnsi="Arial" w:cs="Arial"/>
        </w:rPr>
      </w:pPr>
      <w:r w:rsidRPr="00CD737B">
        <w:rPr>
          <w:rFonts w:ascii="Arial" w:hAnsi="Arial" w:cs="Arial"/>
        </w:rPr>
        <w:t xml:space="preserve">(a) You are considering proton and deuteron beams for a tumor treatment. The goal is to maximize particle energy deposition in tumor tissue. The beam modalities are 300 MeV protons or 600 MeV deuterons. Which deposits more energy per unit length in tissue (per particle)? </w:t>
      </w:r>
    </w:p>
    <w:p w:rsidR="00E0721E" w:rsidRPr="00CD737B" w:rsidRDefault="00E0721E" w:rsidP="00E0721E">
      <w:pPr>
        <w:pStyle w:val="ListParagraph"/>
        <w:tabs>
          <w:tab w:val="left" w:pos="270"/>
        </w:tabs>
        <w:spacing w:after="120"/>
        <w:ind w:left="274" w:hanging="274"/>
        <w:rPr>
          <w:rFonts w:ascii="Arial" w:hAnsi="Arial" w:cs="Arial"/>
        </w:rPr>
      </w:pPr>
      <w:r w:rsidRPr="00CD737B">
        <w:rPr>
          <w:rFonts w:ascii="Arial" w:hAnsi="Arial" w:cs="Arial"/>
        </w:rPr>
        <w:tab/>
        <w:t xml:space="preserve">(b) At what energies radiative yield becomes important (e.g. 50% of energy loss) for protons and deuterons?  </w:t>
      </w:r>
    </w:p>
    <w:p w:rsidR="00E0721E" w:rsidRPr="00CD737B" w:rsidRDefault="00E0721E" w:rsidP="00E0721E">
      <w:pPr>
        <w:pStyle w:val="ListParagraph"/>
        <w:tabs>
          <w:tab w:val="left" w:pos="270"/>
        </w:tabs>
        <w:spacing w:after="120"/>
        <w:ind w:left="274" w:hanging="274"/>
        <w:rPr>
          <w:rFonts w:ascii="Arial" w:hAnsi="Arial" w:cs="Arial"/>
        </w:rPr>
      </w:pPr>
      <w:r w:rsidRPr="00CD737B">
        <w:rPr>
          <w:rFonts w:ascii="Arial" w:hAnsi="Arial" w:cs="Arial"/>
        </w:rPr>
        <w:tab/>
        <w:t xml:space="preserve">(c) In the discussion of charged particle stopping power, shell correction term may become important. Briefly define the correction term and its physical origin. Discuss how (if) it changes in the stopping power equation for protons vs. electrons of the same velocity. </w:t>
      </w:r>
    </w:p>
    <w:p w:rsidR="00CD737B" w:rsidRPr="00CD737B" w:rsidRDefault="00CD737B" w:rsidP="00CD737B">
      <w:pPr>
        <w:tabs>
          <w:tab w:val="left" w:pos="270"/>
        </w:tabs>
        <w:spacing w:after="120"/>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794CB2" w:rsidRDefault="00794CB2" w:rsidP="00E0721E">
      <w:pPr>
        <w:pStyle w:val="ListParagraph"/>
        <w:tabs>
          <w:tab w:val="left" w:pos="270"/>
        </w:tabs>
        <w:spacing w:after="120"/>
        <w:ind w:left="274" w:hanging="274"/>
        <w:rPr>
          <w:rFonts w:ascii="Arial" w:hAnsi="Arial" w:cs="Arial"/>
          <w:sz w:val="28"/>
          <w:lang w:val="en-GB"/>
        </w:rPr>
      </w:pPr>
    </w:p>
    <w:p w:rsidR="00EB75F5" w:rsidRDefault="00EB75F5" w:rsidP="00E0721E">
      <w:pPr>
        <w:pStyle w:val="ListParagraph"/>
        <w:tabs>
          <w:tab w:val="left" w:pos="270"/>
        </w:tabs>
        <w:spacing w:after="120"/>
        <w:ind w:left="274" w:hanging="274"/>
        <w:rPr>
          <w:rFonts w:ascii="Arial" w:hAnsi="Arial" w:cs="Arial"/>
          <w:sz w:val="28"/>
          <w:lang w:val="en-GB"/>
        </w:rPr>
      </w:pPr>
    </w:p>
    <w:p w:rsidR="00EB75F5" w:rsidRDefault="00EB75F5" w:rsidP="00E0721E">
      <w:pPr>
        <w:pStyle w:val="ListParagraph"/>
        <w:tabs>
          <w:tab w:val="left" w:pos="270"/>
        </w:tabs>
        <w:spacing w:after="120"/>
        <w:ind w:left="274" w:hanging="274"/>
        <w:rPr>
          <w:rFonts w:ascii="Arial" w:hAnsi="Arial" w:cs="Arial"/>
          <w:sz w:val="28"/>
          <w:lang w:val="en-GB"/>
        </w:rPr>
      </w:pPr>
    </w:p>
    <w:p w:rsidR="00E0721E" w:rsidRDefault="00E0721E" w:rsidP="00E0721E">
      <w:pPr>
        <w:pStyle w:val="ListParagraph"/>
        <w:tabs>
          <w:tab w:val="left" w:pos="270"/>
        </w:tabs>
        <w:spacing w:after="120"/>
        <w:ind w:left="274" w:hanging="274"/>
        <w:rPr>
          <w:rFonts w:ascii="Arial" w:hAnsi="Arial" w:cs="Arial"/>
          <w:sz w:val="28"/>
          <w:lang w:val="en-GB"/>
        </w:rPr>
      </w:pPr>
      <w:r w:rsidRPr="00E0721E">
        <w:rPr>
          <w:rFonts w:ascii="Arial" w:hAnsi="Arial" w:cs="Arial"/>
          <w:sz w:val="28"/>
          <w:lang w:val="en-GB"/>
        </w:rPr>
        <w:t>Useful tables</w:t>
      </w:r>
    </w:p>
    <w:p w:rsidR="00794CB2" w:rsidRDefault="00794CB2" w:rsidP="00E0721E">
      <w:pPr>
        <w:pStyle w:val="ListParagraph"/>
        <w:tabs>
          <w:tab w:val="left" w:pos="270"/>
        </w:tabs>
        <w:spacing w:after="120"/>
        <w:ind w:left="274" w:hanging="274"/>
        <w:rPr>
          <w:rFonts w:ascii="Arial" w:hAnsi="Arial" w:cs="Arial"/>
          <w:sz w:val="28"/>
          <w:lang w:val="en-GB"/>
        </w:rPr>
      </w:pPr>
    </w:p>
    <w:p w:rsidR="00794CB2" w:rsidRPr="00E0721E" w:rsidRDefault="00794CB2" w:rsidP="00E0721E">
      <w:pPr>
        <w:pStyle w:val="ListParagraph"/>
        <w:tabs>
          <w:tab w:val="left" w:pos="270"/>
        </w:tabs>
        <w:spacing w:after="120"/>
        <w:ind w:left="274" w:hanging="274"/>
        <w:rPr>
          <w:rFonts w:ascii="Arial" w:hAnsi="Arial" w:cs="Arial"/>
          <w:sz w:val="28"/>
          <w:lang w:val="en-GB"/>
        </w:rPr>
      </w:pPr>
    </w:p>
    <w:p w:rsidR="00E0721E" w:rsidRPr="009623B4" w:rsidRDefault="00E0721E" w:rsidP="00E0721E">
      <w:pPr>
        <w:pStyle w:val="Body"/>
        <w:ind w:firstLine="720"/>
        <w:jc w:val="both"/>
        <w:rPr>
          <w:sz w:val="28"/>
        </w:rPr>
      </w:pPr>
    </w:p>
    <w:p w:rsidR="00E0721E" w:rsidRDefault="00E0721E">
      <w:r>
        <w:rPr>
          <w:rFonts w:ascii="Times New Roman" w:hAnsi="Times New Roman" w:cs="Times New Roman"/>
          <w:noProof/>
        </w:rPr>
        <w:drawing>
          <wp:inline distT="0" distB="0" distL="0" distR="0" wp14:anchorId="1613A799" wp14:editId="0B115AAC">
            <wp:extent cx="3480435" cy="4123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7827" cy="422707"/>
                    </a:xfrm>
                    <a:prstGeom prst="rect">
                      <a:avLst/>
                    </a:prstGeom>
                    <a:noFill/>
                    <a:ln>
                      <a:noFill/>
                    </a:ln>
                  </pic:spPr>
                </pic:pic>
              </a:graphicData>
            </a:graphic>
          </wp:inline>
        </w:drawing>
      </w:r>
    </w:p>
    <w:p w:rsidR="00E0721E" w:rsidRDefault="00E0721E">
      <w:r>
        <w:rPr>
          <w:rFonts w:ascii="Times New Roman" w:hAnsi="Times New Roman" w:cs="Times New Roman"/>
          <w:noProof/>
        </w:rPr>
        <w:drawing>
          <wp:inline distT="0" distB="0" distL="0" distR="0" wp14:anchorId="775159CB" wp14:editId="06EEC393">
            <wp:extent cx="3687820" cy="24901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2326" cy="2499919"/>
                    </a:xfrm>
                    <a:prstGeom prst="rect">
                      <a:avLst/>
                    </a:prstGeom>
                    <a:noFill/>
                    <a:ln>
                      <a:noFill/>
                    </a:ln>
                  </pic:spPr>
                </pic:pic>
              </a:graphicData>
            </a:graphic>
          </wp:inline>
        </w:drawing>
      </w:r>
    </w:p>
    <w:p w:rsidR="00E0721E" w:rsidRDefault="00E0721E" w:rsidP="00E0721E">
      <w:pPr>
        <w:tabs>
          <w:tab w:val="left" w:pos="6683"/>
        </w:tabs>
        <w:jc w:val="both"/>
      </w:pPr>
      <w:r>
        <w:t>Electrons in polystyrene</w:t>
      </w:r>
    </w:p>
    <w:p w:rsidR="00E0721E" w:rsidRDefault="00E0721E">
      <w:r w:rsidRPr="00ED4E7A">
        <w:rPr>
          <w:noProof/>
        </w:rPr>
        <w:lastRenderedPageBreak/>
        <w:drawing>
          <wp:anchor distT="0" distB="0" distL="114300" distR="114300" simplePos="0" relativeHeight="251658240" behindDoc="0" locked="0" layoutInCell="1" allowOverlap="1">
            <wp:simplePos x="914400" y="1201783"/>
            <wp:positionH relativeFrom="column">
              <wp:align>left</wp:align>
            </wp:positionH>
            <wp:positionV relativeFrom="paragraph">
              <wp:align>top</wp:align>
            </wp:positionV>
            <wp:extent cx="3911722" cy="4574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11722" cy="4574540"/>
                    </a:xfrm>
                    <a:prstGeom prst="rect">
                      <a:avLst/>
                    </a:prstGeom>
                  </pic:spPr>
                </pic:pic>
              </a:graphicData>
            </a:graphic>
          </wp:anchor>
        </w:drawing>
      </w:r>
    </w:p>
    <w:p w:rsidR="00E0721E" w:rsidRPr="00E0721E" w:rsidRDefault="00E0721E" w:rsidP="00E0721E"/>
    <w:p w:rsidR="00E0721E" w:rsidRPr="00E0721E" w:rsidRDefault="00E0721E" w:rsidP="00E0721E"/>
    <w:p w:rsidR="00E0721E" w:rsidRPr="00E0721E" w:rsidRDefault="00E0721E" w:rsidP="00E0721E"/>
    <w:p w:rsidR="00E0721E" w:rsidRPr="00E0721E" w:rsidRDefault="00E0721E" w:rsidP="00E0721E">
      <w:r>
        <w:t xml:space="preserve">            </w:t>
      </w:r>
      <w:r w:rsidRPr="004D555D">
        <w:rPr>
          <w:noProof/>
        </w:rPr>
        <w:drawing>
          <wp:inline distT="0" distB="0" distL="0" distR="0" wp14:anchorId="003C0708" wp14:editId="19E67A27">
            <wp:extent cx="1867989" cy="3202257"/>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t="8307" r="70629"/>
                    <a:stretch/>
                  </pic:blipFill>
                  <pic:spPr bwMode="auto">
                    <a:xfrm>
                      <a:off x="0" y="0"/>
                      <a:ext cx="1882724" cy="3227516"/>
                    </a:xfrm>
                    <a:prstGeom prst="rect">
                      <a:avLst/>
                    </a:prstGeom>
                    <a:noFill/>
                    <a:ln>
                      <a:noFill/>
                    </a:ln>
                    <a:extLst>
                      <a:ext uri="{53640926-AAD7-44D8-BBD7-CCE9431645EC}">
                        <a14:shadowObscured xmlns:a14="http://schemas.microsoft.com/office/drawing/2010/main"/>
                      </a:ext>
                    </a:extLst>
                  </pic:spPr>
                </pic:pic>
              </a:graphicData>
            </a:graphic>
          </wp:inline>
        </w:drawing>
      </w:r>
    </w:p>
    <w:p w:rsidR="00CD737B" w:rsidRDefault="00CD737B" w:rsidP="00E0721E"/>
    <w:p w:rsidR="00794CB2" w:rsidRDefault="00794CB2" w:rsidP="00E0721E">
      <w:pPr>
        <w:rPr>
          <w:rFonts w:ascii="Arial" w:hAnsi="Arial" w:cs="Arial"/>
          <w:sz w:val="24"/>
          <w:szCs w:val="24"/>
        </w:rPr>
      </w:pPr>
    </w:p>
    <w:p w:rsidR="00CD737B" w:rsidRPr="00EB75F5" w:rsidRDefault="00E0721E" w:rsidP="00E0721E">
      <w:pPr>
        <w:rPr>
          <w:rFonts w:ascii="Arial" w:hAnsi="Arial" w:cs="Arial"/>
          <w:b/>
          <w:sz w:val="24"/>
          <w:szCs w:val="24"/>
        </w:rPr>
      </w:pPr>
      <w:r w:rsidRPr="00EB75F5">
        <w:rPr>
          <w:rFonts w:ascii="Arial" w:hAnsi="Arial" w:cs="Arial"/>
          <w:b/>
          <w:sz w:val="24"/>
          <w:szCs w:val="24"/>
        </w:rPr>
        <w:t>Question 3.</w:t>
      </w:r>
    </w:p>
    <w:p w:rsidR="00E0721E" w:rsidRPr="00E0721E" w:rsidRDefault="00E0721E" w:rsidP="00E0721E">
      <w:pPr>
        <w:numPr>
          <w:ilvl w:val="0"/>
          <w:numId w:val="2"/>
        </w:numPr>
        <w:contextualSpacing/>
        <w:rPr>
          <w:rFonts w:ascii="Arial" w:hAnsi="Arial" w:cs="Arial"/>
          <w:sz w:val="24"/>
          <w:szCs w:val="24"/>
        </w:rPr>
      </w:pPr>
      <w:r w:rsidRPr="00E0721E">
        <w:rPr>
          <w:rFonts w:ascii="Arial" w:hAnsi="Arial" w:cs="Arial"/>
          <w:sz w:val="24"/>
          <w:szCs w:val="24"/>
        </w:rPr>
        <w:t>A liquid scintillation counter is calibrated so that a low-energy window (window 1</w:t>
      </w:r>
      <w:proofErr w:type="gramStart"/>
      <w:r w:rsidRPr="00E0721E">
        <w:rPr>
          <w:rFonts w:ascii="Arial" w:hAnsi="Arial" w:cs="Arial"/>
          <w:sz w:val="24"/>
          <w:szCs w:val="24"/>
        </w:rPr>
        <w:t>)has</w:t>
      </w:r>
      <w:proofErr w:type="gramEnd"/>
      <w:r w:rsidRPr="00E0721E">
        <w:rPr>
          <w:rFonts w:ascii="Arial" w:hAnsi="Arial" w:cs="Arial"/>
          <w:sz w:val="24"/>
          <w:szCs w:val="24"/>
        </w:rPr>
        <w:t xml:space="preserve"> a counting efficient of 30% for </w:t>
      </w:r>
      <w:r w:rsidRPr="00E0721E">
        <w:rPr>
          <w:rFonts w:ascii="Arial" w:hAnsi="Arial" w:cs="Arial"/>
          <w:sz w:val="24"/>
          <w:szCs w:val="24"/>
          <w:vertAlign w:val="superscript"/>
        </w:rPr>
        <w:t>3</w:t>
      </w:r>
      <w:r w:rsidRPr="00E0721E">
        <w:rPr>
          <w:rFonts w:ascii="Arial" w:hAnsi="Arial" w:cs="Arial"/>
          <w:sz w:val="24"/>
          <w:szCs w:val="24"/>
        </w:rPr>
        <w:t xml:space="preserve">H and a higher-energy window (window 2) has a counting efficient of 72% for </w:t>
      </w:r>
      <w:r w:rsidRPr="00E0721E">
        <w:rPr>
          <w:rFonts w:ascii="Arial" w:hAnsi="Arial" w:cs="Arial"/>
          <w:sz w:val="24"/>
          <w:szCs w:val="24"/>
          <w:vertAlign w:val="superscript"/>
        </w:rPr>
        <w:t>32</w:t>
      </w:r>
      <w:r w:rsidRPr="00E0721E">
        <w:rPr>
          <w:rFonts w:ascii="Arial" w:hAnsi="Arial" w:cs="Arial"/>
          <w:sz w:val="24"/>
          <w:szCs w:val="24"/>
        </w:rPr>
        <w:t xml:space="preserve">P.  When a </w:t>
      </w:r>
      <w:r w:rsidRPr="00E0721E">
        <w:rPr>
          <w:rFonts w:ascii="Arial" w:hAnsi="Arial" w:cs="Arial"/>
          <w:sz w:val="24"/>
          <w:szCs w:val="24"/>
          <w:vertAlign w:val="superscript"/>
        </w:rPr>
        <w:t>32</w:t>
      </w:r>
      <w:r w:rsidRPr="00E0721E">
        <w:rPr>
          <w:rFonts w:ascii="Arial" w:hAnsi="Arial" w:cs="Arial"/>
          <w:sz w:val="24"/>
          <w:szCs w:val="24"/>
        </w:rPr>
        <w:t xml:space="preserve">P standard is counted, it is noted that 12% of the number of counts in window 2 are recorded in window 1.  A mixed sample containing </w:t>
      </w:r>
      <w:r w:rsidRPr="00E0721E">
        <w:rPr>
          <w:rFonts w:ascii="Arial" w:hAnsi="Arial" w:cs="Arial"/>
          <w:sz w:val="24"/>
          <w:szCs w:val="24"/>
          <w:vertAlign w:val="superscript"/>
        </w:rPr>
        <w:t>3</w:t>
      </w:r>
      <w:r w:rsidRPr="00E0721E">
        <w:rPr>
          <w:rFonts w:ascii="Arial" w:hAnsi="Arial" w:cs="Arial"/>
          <w:sz w:val="24"/>
          <w:szCs w:val="24"/>
        </w:rPr>
        <w:t xml:space="preserve">H and </w:t>
      </w:r>
      <w:r w:rsidRPr="00E0721E">
        <w:rPr>
          <w:rFonts w:ascii="Arial" w:hAnsi="Arial" w:cs="Arial"/>
          <w:sz w:val="24"/>
          <w:szCs w:val="24"/>
          <w:vertAlign w:val="superscript"/>
        </w:rPr>
        <w:t>32</w:t>
      </w:r>
      <w:r w:rsidRPr="00E0721E">
        <w:rPr>
          <w:rFonts w:ascii="Arial" w:hAnsi="Arial" w:cs="Arial"/>
          <w:sz w:val="24"/>
          <w:szCs w:val="24"/>
        </w:rPr>
        <w:t>P yields 3800 counts in window 1 and 5800 counts in window 2.  Determine the activity of each radionuclide.</w:t>
      </w:r>
    </w:p>
    <w:p w:rsidR="00E0721E" w:rsidRPr="00E0721E" w:rsidRDefault="00E0721E" w:rsidP="00E0721E">
      <w:pPr>
        <w:numPr>
          <w:ilvl w:val="0"/>
          <w:numId w:val="2"/>
        </w:numPr>
        <w:contextualSpacing/>
        <w:rPr>
          <w:rFonts w:ascii="Arial" w:hAnsi="Arial" w:cs="Arial"/>
          <w:sz w:val="24"/>
          <w:szCs w:val="24"/>
        </w:rPr>
      </w:pPr>
      <w:r w:rsidRPr="00E0721E">
        <w:rPr>
          <w:rFonts w:ascii="Arial" w:hAnsi="Arial" w:cs="Arial"/>
          <w:sz w:val="24"/>
          <w:szCs w:val="24"/>
        </w:rPr>
        <w:t>The gross count rate of a weak 60Co source is estimated to be 54 counts per minute with a counting system that has a 10 counts per minute background.  IF one hour is allocated for counting the source and the background, calculate the optimum counting times for each.</w:t>
      </w:r>
    </w:p>
    <w:p w:rsidR="00E0721E" w:rsidRPr="00E0721E" w:rsidRDefault="00E0721E" w:rsidP="00E0721E">
      <w:pPr>
        <w:numPr>
          <w:ilvl w:val="0"/>
          <w:numId w:val="2"/>
        </w:numPr>
        <w:contextualSpacing/>
        <w:rPr>
          <w:rFonts w:ascii="Arial" w:hAnsi="Arial" w:cs="Arial"/>
          <w:sz w:val="24"/>
          <w:szCs w:val="24"/>
        </w:rPr>
      </w:pPr>
      <w:r w:rsidRPr="00E0721E">
        <w:rPr>
          <w:rFonts w:ascii="Arial" w:hAnsi="Arial" w:cs="Arial"/>
          <w:sz w:val="24"/>
          <w:szCs w:val="24"/>
        </w:rPr>
        <w:t>Four aliquots of a sample were measured with count rates and respective standard deviations of 95</w:t>
      </w:r>
      <w:r w:rsidRPr="00E0721E">
        <w:rPr>
          <w:rFonts w:ascii="Arial" w:hAnsi="Arial" w:cs="Arial"/>
          <w:sz w:val="24"/>
          <w:szCs w:val="24"/>
        </w:rPr>
        <w:sym w:font="Symbol Tiger" w:char="F0B1"/>
      </w:r>
      <w:r w:rsidRPr="00E0721E">
        <w:rPr>
          <w:rFonts w:ascii="Arial" w:hAnsi="Arial" w:cs="Arial"/>
          <w:sz w:val="24"/>
          <w:szCs w:val="24"/>
        </w:rPr>
        <w:t>3, 105</w:t>
      </w:r>
      <w:r w:rsidRPr="00E0721E">
        <w:rPr>
          <w:rFonts w:ascii="Arial" w:hAnsi="Arial" w:cs="Arial"/>
          <w:sz w:val="24"/>
          <w:szCs w:val="24"/>
        </w:rPr>
        <w:sym w:font="Symbol Tiger" w:char="F0B1"/>
      </w:r>
      <w:r w:rsidRPr="00E0721E">
        <w:rPr>
          <w:rFonts w:ascii="Arial" w:hAnsi="Arial" w:cs="Arial"/>
          <w:sz w:val="24"/>
          <w:szCs w:val="24"/>
        </w:rPr>
        <w:t>10, 94</w:t>
      </w:r>
      <w:r w:rsidRPr="00E0721E">
        <w:rPr>
          <w:rFonts w:ascii="Arial" w:hAnsi="Arial" w:cs="Arial"/>
          <w:sz w:val="24"/>
          <w:szCs w:val="24"/>
        </w:rPr>
        <w:sym w:font="Symbol Tiger" w:char="F0B1"/>
      </w:r>
      <w:r w:rsidRPr="00E0721E">
        <w:rPr>
          <w:rFonts w:ascii="Arial" w:hAnsi="Arial" w:cs="Arial"/>
          <w:sz w:val="24"/>
          <w:szCs w:val="24"/>
        </w:rPr>
        <w:t>6 and 118</w:t>
      </w:r>
      <w:r w:rsidRPr="00E0721E">
        <w:rPr>
          <w:rFonts w:ascii="Arial" w:hAnsi="Arial" w:cs="Arial"/>
          <w:sz w:val="24"/>
          <w:szCs w:val="24"/>
        </w:rPr>
        <w:sym w:font="Symbol Tiger" w:char="F0B1"/>
      </w:r>
      <w:r w:rsidRPr="00E0721E">
        <w:rPr>
          <w:rFonts w:ascii="Arial" w:hAnsi="Arial" w:cs="Arial"/>
          <w:sz w:val="24"/>
          <w:szCs w:val="24"/>
        </w:rPr>
        <w:t>12. What is the sample mean and its standard deviation?</w:t>
      </w:r>
    </w:p>
    <w:p w:rsidR="00E0721E" w:rsidRPr="00E0721E" w:rsidRDefault="00E0721E" w:rsidP="00E0721E"/>
    <w:p w:rsidR="00E0721E" w:rsidRDefault="00E0721E"/>
    <w:p w:rsidR="00E0721E" w:rsidRPr="00EB75F5" w:rsidRDefault="00E0721E">
      <w:pPr>
        <w:rPr>
          <w:rFonts w:ascii="Arial" w:hAnsi="Arial" w:cs="Arial"/>
          <w:b/>
          <w:sz w:val="24"/>
          <w:szCs w:val="24"/>
        </w:rPr>
      </w:pPr>
      <w:r>
        <w:br w:type="textWrapping" w:clear="all"/>
      </w:r>
      <w:r w:rsidRPr="00EB75F5">
        <w:rPr>
          <w:rFonts w:ascii="Arial" w:hAnsi="Arial" w:cs="Arial"/>
          <w:b/>
          <w:sz w:val="24"/>
          <w:szCs w:val="24"/>
        </w:rPr>
        <w:t xml:space="preserve">Question 4. </w:t>
      </w:r>
    </w:p>
    <w:p w:rsidR="00E0721E" w:rsidRPr="00E0721E" w:rsidRDefault="00E0721E" w:rsidP="00E0721E">
      <w:pPr>
        <w:tabs>
          <w:tab w:val="left" w:pos="450"/>
        </w:tabs>
        <w:spacing w:after="120"/>
        <w:ind w:left="450"/>
        <w:rPr>
          <w:rFonts w:ascii="Arial" w:hAnsi="Arial" w:cs="Arial"/>
          <w:sz w:val="24"/>
          <w:szCs w:val="24"/>
          <w:lang w:val="sv-SE"/>
        </w:rPr>
      </w:pPr>
      <w:r w:rsidRPr="00E0721E">
        <w:rPr>
          <w:rFonts w:ascii="Arial" w:hAnsi="Arial" w:cs="Arial"/>
          <w:sz w:val="24"/>
          <w:szCs w:val="24"/>
          <w:lang w:val="sv-SE"/>
        </w:rPr>
        <w:t>Calculate the following total doses for internal intakes of Co-60.  You may treat two Co-60 gamma rays as both being emitted at 1.25 MeV.  The physical half-life of Co-60 is 5.27 years.The mass of the whole body is 70 kg and of the lungs is 1.5 kg.  The b</w:t>
      </w:r>
    </w:p>
    <w:p w:rsidR="00E0721E" w:rsidRPr="00E0721E" w:rsidRDefault="00E0721E" w:rsidP="00E0721E">
      <w:pPr>
        <w:numPr>
          <w:ilvl w:val="1"/>
          <w:numId w:val="3"/>
        </w:numPr>
        <w:tabs>
          <w:tab w:val="left" w:pos="900"/>
          <w:tab w:val="left" w:pos="990"/>
        </w:tabs>
        <w:spacing w:after="120" w:line="240" w:lineRule="auto"/>
        <w:ind w:left="900" w:hanging="540"/>
        <w:rPr>
          <w:rFonts w:ascii="Arial" w:hAnsi="Arial" w:cs="Arial"/>
          <w:sz w:val="24"/>
          <w:szCs w:val="24"/>
          <w:lang w:val="sv-SE"/>
        </w:rPr>
      </w:pPr>
      <w:r w:rsidRPr="00E0721E">
        <w:rPr>
          <w:rFonts w:ascii="Arial" w:hAnsi="Arial" w:cs="Arial"/>
          <w:sz w:val="24"/>
          <w:szCs w:val="24"/>
          <w:lang w:val="sv-SE"/>
        </w:rPr>
        <w:t xml:space="preserve">The photon dose </w:t>
      </w:r>
      <w:r w:rsidRPr="00E0721E">
        <w:rPr>
          <w:rFonts w:ascii="Arial" w:hAnsi="Arial" w:cs="Arial"/>
          <w:i/>
          <w:sz w:val="24"/>
          <w:szCs w:val="24"/>
          <w:lang w:val="sv-SE"/>
        </w:rPr>
        <w:t>to the lung</w:t>
      </w:r>
      <w:r w:rsidRPr="00E0721E">
        <w:rPr>
          <w:rFonts w:ascii="Arial" w:hAnsi="Arial" w:cs="Arial"/>
          <w:sz w:val="24"/>
          <w:szCs w:val="24"/>
          <w:lang w:val="sv-SE"/>
        </w:rPr>
        <w:t xml:space="preserve"> for 37kBq of Co-60 deposited in the lung and cleared with a biological half-life of 60 days.</w:t>
      </w:r>
    </w:p>
    <w:p w:rsidR="00E0721E" w:rsidRPr="00E0721E" w:rsidRDefault="00E0721E" w:rsidP="00E0721E">
      <w:pPr>
        <w:numPr>
          <w:ilvl w:val="1"/>
          <w:numId w:val="3"/>
        </w:numPr>
        <w:tabs>
          <w:tab w:val="left" w:pos="900"/>
          <w:tab w:val="left" w:pos="990"/>
        </w:tabs>
        <w:spacing w:after="120" w:line="240" w:lineRule="auto"/>
        <w:ind w:left="900" w:hanging="540"/>
        <w:rPr>
          <w:rFonts w:ascii="Arial" w:hAnsi="Arial" w:cs="Arial"/>
          <w:sz w:val="24"/>
          <w:szCs w:val="24"/>
          <w:lang w:val="sv-SE"/>
        </w:rPr>
      </w:pPr>
      <w:r w:rsidRPr="00E0721E">
        <w:rPr>
          <w:rFonts w:ascii="Arial" w:hAnsi="Arial" w:cs="Arial"/>
          <w:sz w:val="24"/>
          <w:szCs w:val="24"/>
          <w:lang w:val="sv-SE"/>
        </w:rPr>
        <w:t xml:space="preserve">The photon dose </w:t>
      </w:r>
      <w:r w:rsidRPr="00E0721E">
        <w:rPr>
          <w:rFonts w:ascii="Arial" w:hAnsi="Arial" w:cs="Arial"/>
          <w:i/>
          <w:sz w:val="24"/>
          <w:szCs w:val="24"/>
          <w:lang w:val="sv-SE"/>
        </w:rPr>
        <w:t>to the whole body</w:t>
      </w:r>
      <w:r w:rsidRPr="00E0721E">
        <w:rPr>
          <w:rFonts w:ascii="Arial" w:hAnsi="Arial" w:cs="Arial"/>
          <w:sz w:val="24"/>
          <w:szCs w:val="24"/>
          <w:lang w:val="sv-SE"/>
        </w:rPr>
        <w:t xml:space="preserve"> for 37kBq of Co-60 deposited in the lung and cleared with a biological half-life of 60 days.</w:t>
      </w:r>
    </w:p>
    <w:p w:rsidR="00E0721E" w:rsidRPr="00E0721E" w:rsidRDefault="00E0721E" w:rsidP="00E0721E">
      <w:pPr>
        <w:numPr>
          <w:ilvl w:val="1"/>
          <w:numId w:val="3"/>
        </w:numPr>
        <w:tabs>
          <w:tab w:val="left" w:pos="900"/>
          <w:tab w:val="left" w:pos="990"/>
        </w:tabs>
        <w:spacing w:after="120" w:line="240" w:lineRule="auto"/>
        <w:ind w:left="900" w:hanging="540"/>
        <w:rPr>
          <w:rFonts w:ascii="Arial" w:hAnsi="Arial" w:cs="Arial"/>
          <w:sz w:val="24"/>
          <w:szCs w:val="24"/>
          <w:lang w:val="sv-SE"/>
        </w:rPr>
      </w:pPr>
      <w:r w:rsidRPr="00E0721E">
        <w:rPr>
          <w:rFonts w:ascii="Arial" w:hAnsi="Arial" w:cs="Arial"/>
          <w:sz w:val="24"/>
          <w:szCs w:val="24"/>
          <w:lang w:val="sv-SE"/>
        </w:rPr>
        <w:t xml:space="preserve">Calculate the photon dose </w:t>
      </w:r>
      <w:r w:rsidRPr="00E0721E">
        <w:rPr>
          <w:rFonts w:ascii="Arial" w:hAnsi="Arial" w:cs="Arial"/>
          <w:i/>
          <w:sz w:val="24"/>
          <w:szCs w:val="24"/>
          <w:lang w:val="sv-SE"/>
        </w:rPr>
        <w:t xml:space="preserve">to the lung </w:t>
      </w:r>
      <w:r w:rsidRPr="00E0721E">
        <w:rPr>
          <w:rFonts w:ascii="Arial" w:hAnsi="Arial" w:cs="Arial"/>
          <w:sz w:val="24"/>
          <w:szCs w:val="24"/>
          <w:lang w:val="sv-SE"/>
        </w:rPr>
        <w:t>for 37kBq of Co-60 uniformly deposited in the whole body that clears with a biological half-life of 800 days.</w:t>
      </w:r>
    </w:p>
    <w:p w:rsidR="00E0721E" w:rsidRPr="00CD737B" w:rsidRDefault="00E0721E" w:rsidP="00E0721E">
      <w:pPr>
        <w:numPr>
          <w:ilvl w:val="1"/>
          <w:numId w:val="3"/>
        </w:numPr>
        <w:tabs>
          <w:tab w:val="left" w:pos="900"/>
          <w:tab w:val="left" w:pos="990"/>
        </w:tabs>
        <w:spacing w:after="120" w:line="240" w:lineRule="auto"/>
        <w:ind w:left="900" w:hanging="540"/>
        <w:rPr>
          <w:rFonts w:ascii="Arial" w:hAnsi="Arial" w:cs="Arial"/>
          <w:sz w:val="24"/>
          <w:szCs w:val="24"/>
          <w:lang w:val="sv-SE"/>
        </w:rPr>
      </w:pPr>
      <w:r w:rsidRPr="00E0721E">
        <w:rPr>
          <w:rFonts w:ascii="Arial" w:hAnsi="Arial" w:cs="Arial"/>
          <w:sz w:val="24"/>
          <w:szCs w:val="24"/>
          <w:lang w:val="sv-SE"/>
        </w:rPr>
        <w:t xml:space="preserve">Calculate the total  photon dose to the </w:t>
      </w:r>
      <w:r w:rsidRPr="00E0721E">
        <w:rPr>
          <w:rFonts w:ascii="Arial" w:hAnsi="Arial" w:cs="Arial"/>
          <w:i/>
          <w:sz w:val="24"/>
          <w:szCs w:val="24"/>
          <w:lang w:val="sv-SE"/>
        </w:rPr>
        <w:t>whole body</w:t>
      </w:r>
      <w:r w:rsidRPr="00E0721E">
        <w:rPr>
          <w:rFonts w:ascii="Arial" w:hAnsi="Arial" w:cs="Arial"/>
          <w:sz w:val="24"/>
          <w:szCs w:val="24"/>
          <w:lang w:val="sv-SE"/>
        </w:rPr>
        <w:t xml:space="preserve"> for 37kBq of Co-60 uniformly deposited in the whole body that clears with a biological half-life of 800 days.</w:t>
      </w:r>
    </w:p>
    <w:p w:rsidR="00E0721E" w:rsidRPr="00CD737B" w:rsidRDefault="00E0721E" w:rsidP="00E0721E">
      <w:pPr>
        <w:tabs>
          <w:tab w:val="left" w:pos="900"/>
          <w:tab w:val="left" w:pos="990"/>
        </w:tabs>
        <w:spacing w:after="120" w:line="240" w:lineRule="auto"/>
        <w:ind w:left="360"/>
        <w:rPr>
          <w:rFonts w:ascii="Arial" w:hAnsi="Arial" w:cs="Arial"/>
          <w:sz w:val="24"/>
          <w:szCs w:val="24"/>
          <w:lang w:val="sv-SE"/>
        </w:rPr>
      </w:pPr>
    </w:p>
    <w:p w:rsidR="00E0721E" w:rsidRPr="00CD737B" w:rsidRDefault="00E0721E" w:rsidP="00E0721E">
      <w:pPr>
        <w:tabs>
          <w:tab w:val="left" w:pos="900"/>
          <w:tab w:val="left" w:pos="990"/>
        </w:tabs>
        <w:spacing w:after="120" w:line="240" w:lineRule="auto"/>
        <w:ind w:left="360"/>
        <w:rPr>
          <w:rFonts w:ascii="Arial" w:hAnsi="Arial" w:cs="Arial"/>
          <w:sz w:val="24"/>
          <w:szCs w:val="24"/>
          <w:lang w:val="sv-SE"/>
        </w:rPr>
      </w:pPr>
    </w:p>
    <w:p w:rsidR="00E0721E" w:rsidRPr="00E0721E" w:rsidRDefault="00E0721E" w:rsidP="00E0721E">
      <w:pPr>
        <w:tabs>
          <w:tab w:val="left" w:pos="900"/>
          <w:tab w:val="left" w:pos="990"/>
        </w:tabs>
        <w:spacing w:after="120" w:line="240" w:lineRule="auto"/>
        <w:ind w:left="360"/>
        <w:rPr>
          <w:rFonts w:ascii="Arial" w:hAnsi="Arial" w:cs="Arial"/>
          <w:sz w:val="24"/>
          <w:szCs w:val="24"/>
          <w:lang w:val="sv-SE"/>
        </w:rPr>
      </w:pPr>
    </w:p>
    <w:p w:rsidR="00E0721E" w:rsidRPr="00EB75F5" w:rsidRDefault="00E0721E" w:rsidP="00E0721E">
      <w:pPr>
        <w:rPr>
          <w:rFonts w:ascii="Arial" w:hAnsi="Arial" w:cs="Arial"/>
          <w:b/>
          <w:sz w:val="24"/>
          <w:szCs w:val="24"/>
        </w:rPr>
      </w:pPr>
      <w:r w:rsidRPr="00EB75F5">
        <w:rPr>
          <w:rFonts w:ascii="Arial" w:hAnsi="Arial" w:cs="Arial"/>
          <w:b/>
          <w:sz w:val="24"/>
          <w:szCs w:val="24"/>
        </w:rPr>
        <w:t xml:space="preserve">Question 5. </w:t>
      </w:r>
    </w:p>
    <w:p w:rsidR="00E0721E" w:rsidRPr="00CD737B" w:rsidRDefault="00E0721E" w:rsidP="00E0721E">
      <w:pPr>
        <w:pStyle w:val="ListParagraph"/>
        <w:tabs>
          <w:tab w:val="left" w:pos="270"/>
        </w:tabs>
        <w:spacing w:after="120"/>
        <w:ind w:left="274" w:hanging="274"/>
        <w:contextualSpacing w:val="0"/>
        <w:jc w:val="both"/>
        <w:rPr>
          <w:rFonts w:ascii="Arial" w:hAnsi="Arial" w:cs="Arial"/>
        </w:rPr>
      </w:pPr>
      <w:r w:rsidRPr="00CD737B">
        <w:rPr>
          <w:rFonts w:ascii="Arial" w:hAnsi="Arial" w:cs="Arial"/>
        </w:rPr>
        <w:t xml:space="preserve">    As a quality assurance procedure of an aluminum sheet production plant, the thickness of nominal 1-cm sheet aluminum is to be monitored by noting the attenuation of a gamma-ray parallel beam passing perpendicularly through the sheet. The source and detector are well shielded, so background and scattering into the detector are negligible. Any given sample spends 1 s in the beam. The detector counting rate with no sheet in place has a mean value of 10,000 per second (measured over a long time, and therefore has a negligible error). </w:t>
      </w:r>
    </w:p>
    <w:p w:rsidR="00E0721E" w:rsidRPr="00CD737B" w:rsidRDefault="00E0721E" w:rsidP="00E0721E">
      <w:pPr>
        <w:pStyle w:val="ListParagraph"/>
        <w:tabs>
          <w:tab w:val="left" w:pos="270"/>
        </w:tabs>
        <w:ind w:left="270" w:hanging="270"/>
        <w:contextualSpacing w:val="0"/>
        <w:jc w:val="both"/>
        <w:rPr>
          <w:rFonts w:ascii="Arial" w:hAnsi="Arial" w:cs="Arial"/>
        </w:rPr>
      </w:pPr>
      <w:r w:rsidRPr="00CD737B">
        <w:rPr>
          <w:rFonts w:ascii="Arial" w:hAnsi="Arial" w:cs="Arial"/>
        </w:rPr>
        <w:tab/>
        <w:t>(a) Find the optimum value of linear attenuation coefficient µ that will minimize the uncertainty in the derived sheet thickness.</w:t>
      </w:r>
    </w:p>
    <w:p w:rsidR="00E0721E" w:rsidRPr="00CD737B" w:rsidRDefault="00E0721E" w:rsidP="00E0721E">
      <w:pPr>
        <w:pStyle w:val="ListParagraph"/>
        <w:tabs>
          <w:tab w:val="left" w:pos="270"/>
        </w:tabs>
        <w:ind w:left="270" w:hanging="270"/>
        <w:contextualSpacing w:val="0"/>
        <w:jc w:val="both"/>
        <w:rPr>
          <w:rFonts w:ascii="Arial" w:hAnsi="Arial" w:cs="Arial"/>
        </w:rPr>
      </w:pPr>
      <w:r w:rsidRPr="00CD737B">
        <w:rPr>
          <w:rFonts w:ascii="Arial" w:hAnsi="Arial" w:cs="Arial"/>
        </w:rPr>
        <w:tab/>
        <w:t>(b) What is the lowest achievable uncertainty (i.e. one standard deviation) for the sheet thickness?</w:t>
      </w:r>
    </w:p>
    <w:p w:rsidR="00E0721E" w:rsidRPr="00CD737B" w:rsidRDefault="00E0721E" w:rsidP="00E0721E">
      <w:pPr>
        <w:pStyle w:val="ListParagraph"/>
        <w:tabs>
          <w:tab w:val="left" w:pos="270"/>
        </w:tabs>
        <w:ind w:left="270" w:hanging="270"/>
        <w:contextualSpacing w:val="0"/>
        <w:jc w:val="both"/>
        <w:rPr>
          <w:rFonts w:ascii="Arial" w:hAnsi="Arial" w:cs="Arial"/>
        </w:rPr>
      </w:pPr>
    </w:p>
    <w:p w:rsidR="00E0721E" w:rsidRPr="00CD737B" w:rsidRDefault="00E0721E" w:rsidP="00E0721E">
      <w:pPr>
        <w:pStyle w:val="ListParagraph"/>
        <w:tabs>
          <w:tab w:val="left" w:pos="270"/>
        </w:tabs>
        <w:ind w:left="270" w:hanging="270"/>
        <w:contextualSpacing w:val="0"/>
        <w:jc w:val="both"/>
        <w:rPr>
          <w:rFonts w:ascii="Arial" w:hAnsi="Arial" w:cs="Arial"/>
        </w:rPr>
      </w:pPr>
    </w:p>
    <w:p w:rsidR="00E0721E" w:rsidRPr="00CD737B" w:rsidRDefault="00E0721E" w:rsidP="00E0721E">
      <w:pPr>
        <w:pStyle w:val="ListParagraph"/>
        <w:tabs>
          <w:tab w:val="left" w:pos="270"/>
        </w:tabs>
        <w:ind w:left="270" w:hanging="270"/>
        <w:contextualSpacing w:val="0"/>
        <w:jc w:val="both"/>
        <w:rPr>
          <w:rFonts w:ascii="Arial" w:hAnsi="Arial" w:cs="Arial"/>
        </w:rPr>
      </w:pPr>
    </w:p>
    <w:p w:rsidR="00E0721E" w:rsidRPr="00CD737B" w:rsidRDefault="00E0721E" w:rsidP="00E0721E">
      <w:pPr>
        <w:pStyle w:val="ListParagraph"/>
        <w:tabs>
          <w:tab w:val="left" w:pos="270"/>
        </w:tabs>
        <w:ind w:left="270" w:hanging="270"/>
        <w:contextualSpacing w:val="0"/>
        <w:jc w:val="both"/>
        <w:rPr>
          <w:rFonts w:ascii="Arial" w:hAnsi="Arial" w:cs="Arial"/>
        </w:rPr>
      </w:pPr>
    </w:p>
    <w:p w:rsidR="00E0721E" w:rsidRPr="00EB75F5" w:rsidRDefault="00E0721E" w:rsidP="00E0721E">
      <w:pPr>
        <w:pStyle w:val="ListParagraph"/>
        <w:tabs>
          <w:tab w:val="left" w:pos="270"/>
        </w:tabs>
        <w:ind w:left="270" w:hanging="270"/>
        <w:contextualSpacing w:val="0"/>
        <w:jc w:val="both"/>
        <w:rPr>
          <w:rFonts w:ascii="Arial" w:hAnsi="Arial" w:cs="Arial"/>
          <w:b/>
        </w:rPr>
      </w:pPr>
      <w:bookmarkStart w:id="0" w:name="_GoBack"/>
      <w:r w:rsidRPr="00EB75F5">
        <w:rPr>
          <w:rFonts w:ascii="Arial" w:hAnsi="Arial" w:cs="Arial"/>
          <w:b/>
        </w:rPr>
        <w:t>Question 6.</w:t>
      </w:r>
    </w:p>
    <w:bookmarkEnd w:id="0"/>
    <w:p w:rsidR="00E0721E" w:rsidRPr="00CD737B" w:rsidRDefault="00E0721E" w:rsidP="00E0721E">
      <w:pPr>
        <w:pStyle w:val="ListParagraph"/>
        <w:tabs>
          <w:tab w:val="left" w:pos="270"/>
        </w:tabs>
        <w:ind w:left="270" w:hanging="270"/>
        <w:contextualSpacing w:val="0"/>
        <w:jc w:val="both"/>
        <w:rPr>
          <w:rFonts w:ascii="Arial" w:hAnsi="Arial" w:cs="Arial"/>
        </w:rPr>
      </w:pPr>
    </w:p>
    <w:p w:rsidR="00E0721E" w:rsidRPr="00CD737B" w:rsidRDefault="00E0721E" w:rsidP="00E0721E">
      <w:pPr>
        <w:pStyle w:val="ListParagraph"/>
        <w:tabs>
          <w:tab w:val="left" w:pos="270"/>
        </w:tabs>
        <w:ind w:left="270" w:hanging="270"/>
        <w:contextualSpacing w:val="0"/>
        <w:jc w:val="both"/>
        <w:rPr>
          <w:rFonts w:ascii="Arial" w:hAnsi="Arial" w:cs="Arial"/>
        </w:rPr>
      </w:pPr>
      <w:r w:rsidRPr="00CD737B">
        <w:rPr>
          <w:rFonts w:ascii="Arial" w:hAnsi="Arial" w:cs="Arial"/>
        </w:rPr>
        <w:tab/>
        <w:t xml:space="preserve">Discuss the pros and cons of the following three types of gamma spectrometers: </w:t>
      </w:r>
      <w:proofErr w:type="spellStart"/>
      <w:r w:rsidRPr="00CD737B">
        <w:rPr>
          <w:rFonts w:ascii="Arial" w:hAnsi="Arial" w:cs="Arial"/>
        </w:rPr>
        <w:t>HPGe</w:t>
      </w:r>
      <w:proofErr w:type="spellEnd"/>
      <w:r w:rsidRPr="00CD737B">
        <w:rPr>
          <w:rFonts w:ascii="Arial" w:hAnsi="Arial" w:cs="Arial"/>
        </w:rPr>
        <w:t xml:space="preserve">, CZT, and </w:t>
      </w:r>
      <w:proofErr w:type="spellStart"/>
      <w:r w:rsidRPr="00CD737B">
        <w:rPr>
          <w:rFonts w:ascii="Arial" w:hAnsi="Arial" w:cs="Arial"/>
        </w:rPr>
        <w:t>LaBr</w:t>
      </w:r>
      <w:proofErr w:type="spellEnd"/>
      <w:r w:rsidRPr="00CD737B">
        <w:rPr>
          <w:rFonts w:ascii="Arial" w:hAnsi="Arial" w:cs="Arial"/>
        </w:rPr>
        <w:t>.</w:t>
      </w:r>
    </w:p>
    <w:p w:rsidR="00E0721E" w:rsidRDefault="00E0721E"/>
    <w:sectPr w:rsidR="00E07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Tiger">
    <w:altName w:val="System Font Heavy"/>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00BB"/>
    <w:multiLevelType w:val="hybridMultilevel"/>
    <w:tmpl w:val="B9185D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F5F71FA"/>
    <w:multiLevelType w:val="hybridMultilevel"/>
    <w:tmpl w:val="B64E76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F509F"/>
    <w:multiLevelType w:val="hybridMultilevel"/>
    <w:tmpl w:val="BC5A6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1E"/>
    <w:rsid w:val="00794CB2"/>
    <w:rsid w:val="00CD737B"/>
    <w:rsid w:val="00DB666B"/>
    <w:rsid w:val="00E0721E"/>
    <w:rsid w:val="00EB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96C44-034F-47BE-9CA1-24A48436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0721E"/>
    <w:pPr>
      <w:spacing w:after="0" w:line="240" w:lineRule="auto"/>
    </w:pPr>
    <w:rPr>
      <w:rFonts w:ascii="Calibri" w:eastAsia="Calibri" w:hAnsi="Calibri" w:cs="Calibri"/>
      <w:color w:val="000000"/>
      <w:sz w:val="24"/>
      <w:szCs w:val="24"/>
      <w:u w:color="000000"/>
    </w:rPr>
  </w:style>
  <w:style w:type="paragraph" w:styleId="ListParagraph">
    <w:name w:val="List Paragraph"/>
    <w:basedOn w:val="Normal"/>
    <w:uiPriority w:val="34"/>
    <w:qFormat/>
    <w:rsid w:val="00E0721E"/>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2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Iten, Cynthia S</dc:creator>
  <cp:keywords/>
  <dc:description/>
  <cp:lastModifiedBy>Iten, Cynthia S</cp:lastModifiedBy>
  <cp:revision>3</cp:revision>
  <dcterms:created xsi:type="dcterms:W3CDTF">2015-10-23T13:31:00Z</dcterms:created>
  <dcterms:modified xsi:type="dcterms:W3CDTF">2015-10-23T15:34:00Z</dcterms:modified>
</cp:coreProperties>
</file>